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color w:val="44546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bidi w:val="1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سياسة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مصفوفة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الصلاحيات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مجلس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الإدارة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والإدارة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التنفيذية</w:t>
      </w:r>
    </w:p>
    <w:p w:rsidR="00000000" w:rsidDel="00000000" w:rsidP="00000000" w:rsidRDefault="00000000" w:rsidRPr="00000000" w14:paraId="00000004">
      <w:pPr>
        <w:pStyle w:val="Heading1"/>
        <w:bidi w:val="1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مقدمة</w:t>
      </w:r>
    </w:p>
    <w:p w:rsidR="00000000" w:rsidDel="00000000" w:rsidP="00000000" w:rsidRDefault="00000000" w:rsidRPr="00000000" w14:paraId="00000005">
      <w:pPr>
        <w:bidi w:val="1"/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مصفوفة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الصلاحيات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والإدارة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مطلبا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أساسيا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متطلبات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ضوابط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الرقابة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المسئوليات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والصلاحيات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لشاغلي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الوظائف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الإدارية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لاعتماد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القرارات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والمعاملات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شأنها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تعزز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ضبط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وحوكمت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مسارات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تدفق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المعاملات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والإجراءات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لتمنع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مخاطر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الفساد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والاحتيال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Style w:val="Heading1"/>
        <w:bidi w:val="1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النطاق</w:t>
      </w:r>
    </w:p>
    <w:p w:rsidR="00000000" w:rsidDel="00000000" w:rsidP="00000000" w:rsidRDefault="00000000" w:rsidRPr="00000000" w14:paraId="00000007">
      <w:pPr>
        <w:bidi w:val="1"/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تحدد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المسؤوليات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كافة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العاملين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علاقات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تعاقدية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وتطوعية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ويستثنى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تصدر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وظيفية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وفقا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للأنظمة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1"/>
        <w:bidi w:val="1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البيان</w:t>
      </w:r>
    </w:p>
    <w:p w:rsidR="00000000" w:rsidDel="00000000" w:rsidP="00000000" w:rsidRDefault="00000000" w:rsidRPr="00000000" w14:paraId="00000009">
      <w:pPr>
        <w:pStyle w:val="Heading2"/>
        <w:bidi w:val="1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مصفوفة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صلاحيات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التوجيهات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والأهداف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الرئيسية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للجمعية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والإشراف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تنفيذها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واللوائح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والضوابط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للرقابة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والإشراف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يتبع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للمهام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والاختصاصات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والواجبات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والمسؤوليات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للحوكمة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بالجمعية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والإشراف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ومراقبة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فاعليته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وتعديله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دعت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يتعارض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تقرره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واعتماد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مكتوبة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تنظم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العالقة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المصالح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حمايتهم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وحفظ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حقوقهم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واعتماد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لتفويض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وتنفيذ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المنوطة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واعتماد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والإجراءات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تضمن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للأنظمة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واللوائح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والتزامها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بالإفصاح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الجوهرية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لأصحاب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المصالح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بعمل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وتطويرها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الصلاحيات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والاختصاصات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والمسؤوليات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تفويضها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وإجراءات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التفويض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يحدد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يحتفظ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بصلاحية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موجهات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ومعايير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للاستثمارات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الاستثمارات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والأنشطة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العقارية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للجمعية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للمخاطر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تواجه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مراجعة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وتقييم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أداء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الرئيس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الاعتمادات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والتوقيعات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أوامر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الصرف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والشيكات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التعيين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والفصل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لشاغلي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إقرار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واعتماد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الهيكل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التنظيمي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والتعديلات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الطارئة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Heading2"/>
        <w:bidi w:val="1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ثانيا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مصفوفة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صلاحيات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المثلى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لفريق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مرحلية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متطورة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بالاستراتيجيات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والخطط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الدوري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تقارير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دورية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ممارساتها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للصلاحيات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المفوضة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التقارير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ومشروع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الموازنة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التقديرية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لاعتماده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التقويم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للعاملين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للجمعية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إصدار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التعاميم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والتعليمات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بسير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التوصية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التعيين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للوظائف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الشاغرة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لاعتمادها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بإنهاء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العقود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pStyle w:val="Heading2"/>
        <w:bidi w:val="1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ثالثا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الواجبات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الرؤساء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لعقد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اجتماع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اللجان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الفرعية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إلغاء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تأجيل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المجدولة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والتشاور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اللجنة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لرئيس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يدعو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لاجتماع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طارئ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مجدول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رأى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وأمين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والأعضاء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والرئيس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يتوجب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تزويد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بتقرير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شهري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يتضمن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أدائها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بشؤون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غيابه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مقامه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مفوض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وخبرة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بأعمال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بالقيام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بالمهمة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لأعضاء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واللجان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والمدير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pStyle w:val="Heading1"/>
        <w:bidi w:val="1"/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المسؤوليات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تطبق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ضمن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أنشطة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العاملين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والمنتسبين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يعملون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واشراف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الجمعية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الاطلاع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الأنظمة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بعملهم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والإلمام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والتوقيع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والالتزام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ورد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أحكام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أداء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واجباتهم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ومسؤولياتهم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الوظيفية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التنفيذية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تزويد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الإدارات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والأقسام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بنسخة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240" w:before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اعتمادها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محضر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( 5 )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بتاريخ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20/4/2025</w:t>
      </w:r>
    </w:p>
    <w:p w:rsidR="00000000" w:rsidDel="00000000" w:rsidP="00000000" w:rsidRDefault="00000000" w:rsidRPr="00000000" w14:paraId="00000030">
      <w:pPr>
        <w:bidi w:val="1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-457199</wp:posOffset>
          </wp:positionH>
          <wp:positionV relativeFrom="paragraph">
            <wp:posOffset>241082</wp:posOffset>
          </wp:positionV>
          <wp:extent cx="7560000" cy="368625"/>
          <wp:effectExtent b="0" l="0" r="0" t="0"/>
          <wp:wrapSquare wrapText="bothSides" distB="0" distT="0" distL="114300" distR="114300"/>
          <wp:docPr id="21042480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3686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14.85pt;height:586.7999212598424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14.85pt;height:586.7999212598424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-512730</wp:posOffset>
          </wp:positionH>
          <wp:positionV relativeFrom="paragraph">
            <wp:posOffset>-486576</wp:posOffset>
          </wp:positionV>
          <wp:extent cx="7560000" cy="1258786"/>
          <wp:effectExtent b="0" l="0" r="0" t="0"/>
          <wp:wrapSquare wrapText="bothSides" distB="0" distT="0" distL="114300" distR="114300"/>
          <wp:docPr id="21042480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2587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14.85pt;height:586.7999212598424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7030a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70ad47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b98d8b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Calibri" w:cs="Calibri" w:eastAsia="Calibri" w:hAnsi="Calibri"/>
      <w:color w:val="7030a0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Char"/>
    <w:uiPriority w:val="9"/>
    <w:qFormat w:val="1"/>
    <w:rsid w:val="0016607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7030a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 w:val="1"/>
    <w:qFormat w:val="1"/>
    <w:rsid w:val="0041574F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70ad47" w:themeColor="accent6"/>
      <w:sz w:val="26"/>
      <w:szCs w:val="28"/>
    </w:rPr>
  </w:style>
  <w:style w:type="paragraph" w:styleId="3">
    <w:name w:val="heading 3"/>
    <w:basedOn w:val="a"/>
    <w:next w:val="a"/>
    <w:link w:val="3Char"/>
    <w:uiPriority w:val="9"/>
    <w:unhideWhenUsed w:val="1"/>
    <w:qFormat w:val="1"/>
    <w:rsid w:val="0016607A"/>
    <w:pPr>
      <w:keepNext w:val="1"/>
      <w:keepLines w:val="1"/>
      <w:spacing w:after="0" w:before="40"/>
      <w:outlineLvl w:val="2"/>
    </w:pPr>
    <w:rPr>
      <w:rFonts w:asciiTheme="majorHAnsi" w:cstheme="majorHAnsi" w:eastAsiaTheme="majorEastAsia" w:hAnsiTheme="majorHAnsi"/>
      <w:color w:val="b98d8b"/>
      <w:sz w:val="24"/>
      <w:szCs w:val="24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C024CC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C024CC"/>
  </w:style>
  <w:style w:type="paragraph" w:styleId="a4">
    <w:name w:val="footer"/>
    <w:basedOn w:val="a"/>
    <w:link w:val="Char0"/>
    <w:uiPriority w:val="99"/>
    <w:unhideWhenUsed w:val="1"/>
    <w:rsid w:val="00C024CC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C024CC"/>
  </w:style>
  <w:style w:type="paragraph" w:styleId="a5">
    <w:name w:val="List Paragraph"/>
    <w:basedOn w:val="a"/>
    <w:uiPriority w:val="34"/>
    <w:qFormat w:val="1"/>
    <w:rsid w:val="00FF2E91"/>
    <w:pPr>
      <w:bidi w:val="0"/>
      <w:spacing w:line="256" w:lineRule="auto"/>
      <w:ind w:left="720"/>
      <w:contextualSpacing w:val="1"/>
    </w:pPr>
    <w:rPr>
      <w:rFonts w:ascii="Tajawal" w:cs="Tajawal" w:hAnsi="Tajawal"/>
      <w:kern w:val="0"/>
      <w:sz w:val="24"/>
      <w:szCs w:val="24"/>
    </w:rPr>
  </w:style>
  <w:style w:type="paragraph" w:styleId="a6">
    <w:name w:val="No Spacing"/>
    <w:link w:val="Char1"/>
    <w:uiPriority w:val="1"/>
    <w:qFormat w:val="1"/>
    <w:rsid w:val="006F31D2"/>
    <w:pPr>
      <w:spacing w:after="0" w:line="240" w:lineRule="auto"/>
    </w:pPr>
    <w:rPr>
      <w:rFonts w:eastAsiaTheme="minorEastAsia"/>
      <w:kern w:val="0"/>
    </w:rPr>
  </w:style>
  <w:style w:type="character" w:styleId="Char1" w:customStyle="1">
    <w:name w:val="بلا تباعد Char"/>
    <w:basedOn w:val="a0"/>
    <w:link w:val="a6"/>
    <w:uiPriority w:val="1"/>
    <w:rsid w:val="006F31D2"/>
    <w:rPr>
      <w:rFonts w:eastAsiaTheme="minorEastAsia"/>
      <w:kern w:val="0"/>
    </w:rPr>
  </w:style>
  <w:style w:type="character" w:styleId="1Char" w:customStyle="1">
    <w:name w:val="العنوان 1 Char"/>
    <w:basedOn w:val="a0"/>
    <w:link w:val="1"/>
    <w:uiPriority w:val="9"/>
    <w:rsid w:val="0016607A"/>
    <w:rPr>
      <w:rFonts w:asciiTheme="majorHAnsi" w:cstheme="majorBidi" w:eastAsiaTheme="majorEastAsia" w:hAnsiTheme="majorHAnsi"/>
      <w:color w:val="7030a0"/>
      <w:sz w:val="32"/>
      <w:szCs w:val="32"/>
    </w:rPr>
  </w:style>
  <w:style w:type="character" w:styleId="2Char" w:customStyle="1">
    <w:name w:val="عنوان 2 Char"/>
    <w:basedOn w:val="a0"/>
    <w:link w:val="2"/>
    <w:uiPriority w:val="9"/>
    <w:rsid w:val="0041574F"/>
    <w:rPr>
      <w:rFonts w:asciiTheme="majorHAnsi" w:cstheme="majorBidi" w:eastAsiaTheme="majorEastAsia" w:hAnsiTheme="majorHAnsi"/>
      <w:color w:val="70ad47" w:themeColor="accent6"/>
      <w:sz w:val="26"/>
      <w:szCs w:val="28"/>
    </w:rPr>
  </w:style>
  <w:style w:type="character" w:styleId="3Char" w:customStyle="1">
    <w:name w:val="عنوان 3 Char"/>
    <w:basedOn w:val="a0"/>
    <w:link w:val="3"/>
    <w:uiPriority w:val="9"/>
    <w:rsid w:val="0016607A"/>
    <w:rPr>
      <w:rFonts w:asciiTheme="majorHAnsi" w:cstheme="majorHAnsi" w:eastAsiaTheme="majorEastAsia" w:hAnsiTheme="majorHAnsi"/>
      <w:color w:val="b98d8b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 w:val="1"/>
    <w:rsid w:val="00262E85"/>
    <w:pPr>
      <w:spacing w:after="0" w:line="360" w:lineRule="auto"/>
      <w:contextualSpacing w:val="1"/>
      <w:jc w:val="center"/>
    </w:pPr>
    <w:rPr>
      <w:rFonts w:cs="Zahra Arabic" w:asciiTheme="majorHAnsi" w:eastAsiaTheme="majorEastAsia" w:hAnsiTheme="majorHAnsi"/>
      <w:bCs w:val="1"/>
      <w:color w:val="7030a0"/>
      <w:spacing w:val="-10"/>
      <w:kern w:val="28"/>
      <w:sz w:val="56"/>
      <w:szCs w:val="44"/>
    </w:rPr>
  </w:style>
  <w:style w:type="character" w:styleId="Char2" w:customStyle="1">
    <w:name w:val="العنوان Char"/>
    <w:basedOn w:val="a0"/>
    <w:link w:val="a7"/>
    <w:uiPriority w:val="10"/>
    <w:rsid w:val="00262E85"/>
    <w:rPr>
      <w:rFonts w:cs="Zahra Arabic" w:asciiTheme="majorHAnsi" w:eastAsiaTheme="majorEastAsia" w:hAnsiTheme="majorHAnsi"/>
      <w:bCs w:val="1"/>
      <w:color w:val="7030a0"/>
      <w:spacing w:val="-10"/>
      <w:kern w:val="28"/>
      <w:sz w:val="56"/>
      <w:szCs w:val="44"/>
    </w:rPr>
  </w:style>
  <w:style w:type="character" w:styleId="a8">
    <w:name w:val="Subtle Emphasis"/>
    <w:basedOn w:val="a0"/>
    <w:uiPriority w:val="19"/>
    <w:qFormat w:val="1"/>
    <w:rsid w:val="0059796A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a2wFIzA8p+RgF5rmdeyXexUwRg==">CgMxLjA4AHIhMUt1LU1XbGtHdWlzb2dSRFpKcXZINHJuWkZLdG83M0NT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2024-10-10T12:03:00Z</dcterms:created>
  <dc:creator>مفرح الزهراني</dc:creator>
</cp:coreProperties>
</file>